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88" w:rsidRPr="00CE0E16" w:rsidRDefault="00E97188" w:rsidP="00E97188">
      <w:pPr>
        <w:pStyle w:val="NoSpacing"/>
        <w:spacing w:line="360" w:lineRule="auto"/>
        <w:rPr>
          <w:rFonts w:ascii="Times New Roman" w:hAnsi="Times New Roman" w:cs="Times New Roman"/>
          <w:b/>
          <w:sz w:val="24"/>
          <w:szCs w:val="24"/>
          <w:u w:val="single"/>
        </w:rPr>
      </w:pPr>
      <w:r w:rsidRPr="00CE0E16">
        <w:rPr>
          <w:rFonts w:ascii="Times New Roman" w:hAnsi="Times New Roman" w:cs="Times New Roman"/>
          <w:b/>
          <w:sz w:val="24"/>
          <w:szCs w:val="24"/>
          <w:u w:val="single"/>
        </w:rPr>
        <w:t>Introduction</w:t>
      </w:r>
    </w:p>
    <w:p w:rsidR="00E97188" w:rsidRDefault="00E97188" w:rsidP="00E97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Illicit intravenous drug use in persons who inject drugs (</w:t>
      </w:r>
      <w:r w:rsidR="001D3766">
        <w:rPr>
          <w:rFonts w:ascii="Times New Roman" w:hAnsi="Times New Roman" w:cs="Times New Roman"/>
          <w:sz w:val="24"/>
          <w:szCs w:val="24"/>
        </w:rPr>
        <w:t>P</w:t>
      </w:r>
      <w:r>
        <w:rPr>
          <w:rFonts w:ascii="Times New Roman" w:hAnsi="Times New Roman" w:cs="Times New Roman"/>
          <w:sz w:val="24"/>
          <w:szCs w:val="24"/>
        </w:rPr>
        <w:t xml:space="preserve">WID) often leads to medical complications and deep tissue infections. These infections include endocarditis, pneumonia, osteomyelitis, deep muscle infections, and paraspinous infections. Treatment for these infections can require up to 6 weeks of daily antibiotics, often administered several times per day. </w:t>
      </w:r>
      <w:r w:rsidR="000464B5">
        <w:rPr>
          <w:rFonts w:ascii="Times New Roman" w:hAnsi="Times New Roman" w:cs="Times New Roman"/>
          <w:sz w:val="24"/>
          <w:szCs w:val="24"/>
        </w:rPr>
        <w:t>To</w:t>
      </w:r>
      <w:r>
        <w:rPr>
          <w:rFonts w:ascii="Times New Roman" w:hAnsi="Times New Roman" w:cs="Times New Roman"/>
          <w:sz w:val="24"/>
          <w:szCs w:val="24"/>
        </w:rPr>
        <w:t xml:space="preserve"> facilitate treatment, health care providers often insert peripherally inserted central catheters (PICC) lines, other varieties of central lines or mid-line catheters. </w:t>
      </w:r>
    </w:p>
    <w:p w:rsidR="00E97188" w:rsidRDefault="00E97188" w:rsidP="00E97188">
      <w:pPr>
        <w:pStyle w:val="NoSpacing"/>
        <w:spacing w:line="360" w:lineRule="auto"/>
        <w:rPr>
          <w:rFonts w:ascii="Times New Roman" w:hAnsi="Times New Roman" w:cs="Times New Roman"/>
          <w:sz w:val="24"/>
          <w:szCs w:val="24"/>
        </w:rPr>
      </w:pPr>
    </w:p>
    <w:p w:rsidR="00E97188" w:rsidRDefault="00E97188" w:rsidP="00E97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Unfortunately, PWID are </w:t>
      </w:r>
      <w:r w:rsidR="007444D6">
        <w:rPr>
          <w:rFonts w:ascii="Times New Roman" w:hAnsi="Times New Roman" w:cs="Times New Roman"/>
          <w:sz w:val="24"/>
          <w:szCs w:val="24"/>
        </w:rPr>
        <w:t xml:space="preserve">often prone to tamper with their PICC or Central Lines to inject illicit drugs. Doing so can lead to significant complications such as drug overdose, line infection, line thrombosis, and embolism. These complications endanger the patient and put the treating providers and institution at risk for complications, dramatically increased costs and </w:t>
      </w:r>
      <w:r w:rsidR="003F6039">
        <w:rPr>
          <w:rFonts w:ascii="Times New Roman" w:hAnsi="Times New Roman" w:cs="Times New Roman"/>
          <w:sz w:val="24"/>
          <w:szCs w:val="24"/>
        </w:rPr>
        <w:t xml:space="preserve">potentially </w:t>
      </w:r>
      <w:r w:rsidR="007444D6">
        <w:rPr>
          <w:rFonts w:ascii="Times New Roman" w:hAnsi="Times New Roman" w:cs="Times New Roman"/>
          <w:sz w:val="24"/>
          <w:szCs w:val="24"/>
        </w:rPr>
        <w:t xml:space="preserve">lawsuits. </w:t>
      </w:r>
    </w:p>
    <w:p w:rsidR="007444D6" w:rsidRDefault="007444D6" w:rsidP="00E97188">
      <w:pPr>
        <w:pStyle w:val="NoSpacing"/>
        <w:spacing w:line="360" w:lineRule="auto"/>
        <w:rPr>
          <w:rFonts w:ascii="Times New Roman" w:hAnsi="Times New Roman" w:cs="Times New Roman"/>
          <w:sz w:val="24"/>
          <w:szCs w:val="24"/>
        </w:rPr>
      </w:pPr>
    </w:p>
    <w:p w:rsidR="007444D6" w:rsidRDefault="007444D6" w:rsidP="00E97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Neuma Innovations PICC and Central Line Protection Clamp (the Clamp) is designed to deter patients from tampering with their lines and to detect when patients do so. Th</w:t>
      </w:r>
      <w:r w:rsidR="003F6039">
        <w:rPr>
          <w:rFonts w:ascii="Times New Roman" w:hAnsi="Times New Roman" w:cs="Times New Roman"/>
          <w:sz w:val="24"/>
          <w:szCs w:val="24"/>
        </w:rPr>
        <w:t>e Clamp is a single use device that clamps off the central line, thus deterring tampering. Once opened, it cannot be closed again, thus serving to detect the tampering.</w:t>
      </w:r>
    </w:p>
    <w:p w:rsidR="0065581C" w:rsidRDefault="0065581C" w:rsidP="00E97188">
      <w:pPr>
        <w:pStyle w:val="NoSpacing"/>
        <w:spacing w:line="360" w:lineRule="auto"/>
        <w:rPr>
          <w:rFonts w:ascii="Times New Roman" w:hAnsi="Times New Roman" w:cs="Times New Roman"/>
          <w:sz w:val="24"/>
          <w:szCs w:val="24"/>
        </w:rPr>
      </w:pPr>
    </w:p>
    <w:p w:rsidR="0065581C" w:rsidRPr="00CE0E16" w:rsidRDefault="00593124" w:rsidP="00E97188">
      <w:pPr>
        <w:pStyle w:val="NoSpacing"/>
        <w:spacing w:line="360" w:lineRule="auto"/>
        <w:rPr>
          <w:rFonts w:ascii="Times New Roman" w:hAnsi="Times New Roman" w:cs="Times New Roman"/>
          <w:b/>
          <w:sz w:val="24"/>
          <w:szCs w:val="24"/>
          <w:u w:val="single"/>
        </w:rPr>
      </w:pPr>
      <w:r w:rsidRPr="00CE0E16">
        <w:rPr>
          <w:rFonts w:ascii="Times New Roman" w:hAnsi="Times New Roman" w:cs="Times New Roman"/>
          <w:b/>
          <w:sz w:val="24"/>
          <w:szCs w:val="24"/>
          <w:u w:val="single"/>
        </w:rPr>
        <w:t>Key Points</w:t>
      </w:r>
      <w:r w:rsidR="0073128D">
        <w:rPr>
          <w:rFonts w:ascii="Times New Roman" w:hAnsi="Times New Roman" w:cs="Times New Roman"/>
          <w:b/>
          <w:sz w:val="24"/>
          <w:szCs w:val="24"/>
          <w:u w:val="single"/>
        </w:rPr>
        <w:t xml:space="preserve"> &amp; Cautions</w:t>
      </w:r>
    </w:p>
    <w:p w:rsidR="00593124" w:rsidRDefault="00593124" w:rsidP="0059312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Clamp does NOT require consent from the patient. Consent is implied when it is obtained for insertion of the PICC or other central lines, just like the sterile dressing or line filters or even the clamps currently on the line are also part of the central line and do not require individual consents from the patient. </w:t>
      </w:r>
    </w:p>
    <w:p w:rsidR="00593124" w:rsidRDefault="00593124" w:rsidP="0059312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If the patient tampers with the line, you do have the option to pull the central line if tampering constitutes a danger to the patient.</w:t>
      </w:r>
    </w:p>
    <w:p w:rsidR="00593124" w:rsidRDefault="00593124" w:rsidP="0059312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Clamp ultimately works best in an empathetic environment that considers the humanity of the patient as well as Medication-Assisted Therapy, Infectious Disease Consultation and a Treatment Agreement with the patient.</w:t>
      </w:r>
    </w:p>
    <w:p w:rsidR="0073128D" w:rsidRDefault="0073128D" w:rsidP="0059312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Ensure that all lumens are in the cradle of the Clamp.</w:t>
      </w:r>
    </w:p>
    <w:p w:rsidR="0073128D" w:rsidRDefault="0073128D" w:rsidP="0059312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Do not reuse.</w:t>
      </w:r>
    </w:p>
    <w:p w:rsidR="0073128D" w:rsidRDefault="0073128D" w:rsidP="0059312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Do not use on Quinton catheters.</w:t>
      </w:r>
    </w:p>
    <w:p w:rsidR="002B0935" w:rsidRDefault="002B0935" w:rsidP="00E97188">
      <w:pPr>
        <w:pStyle w:val="NoSpacing"/>
        <w:spacing w:line="360" w:lineRule="auto"/>
        <w:rPr>
          <w:rFonts w:ascii="Times New Roman" w:hAnsi="Times New Roman" w:cs="Times New Roman"/>
          <w:sz w:val="24"/>
          <w:szCs w:val="24"/>
        </w:rPr>
      </w:pPr>
    </w:p>
    <w:p w:rsidR="003F6039" w:rsidRPr="00CE0E16" w:rsidRDefault="003F6039" w:rsidP="00E97188">
      <w:pPr>
        <w:pStyle w:val="NoSpacing"/>
        <w:spacing w:line="360" w:lineRule="auto"/>
        <w:rPr>
          <w:rFonts w:ascii="Times New Roman" w:hAnsi="Times New Roman" w:cs="Times New Roman"/>
          <w:b/>
          <w:sz w:val="24"/>
          <w:szCs w:val="24"/>
          <w:u w:val="single"/>
        </w:rPr>
      </w:pPr>
      <w:r w:rsidRPr="00CE0E16">
        <w:rPr>
          <w:rFonts w:ascii="Times New Roman" w:hAnsi="Times New Roman" w:cs="Times New Roman"/>
          <w:b/>
          <w:sz w:val="24"/>
          <w:szCs w:val="24"/>
          <w:u w:val="single"/>
        </w:rPr>
        <w:t>Definitions</w:t>
      </w:r>
    </w:p>
    <w:tbl>
      <w:tblPr>
        <w:tblStyle w:val="TableGrid"/>
        <w:tblW w:w="0" w:type="auto"/>
        <w:tblLook w:val="04A0" w:firstRow="1" w:lastRow="0" w:firstColumn="1" w:lastColumn="0" w:noHBand="0" w:noVBand="1"/>
      </w:tblPr>
      <w:tblGrid>
        <w:gridCol w:w="1525"/>
        <w:gridCol w:w="7825"/>
      </w:tblGrid>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Care Provider</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 xml:space="preserve">The licensed practitioner including physicians or </w:t>
            </w:r>
            <w:r w:rsidR="00850BCA">
              <w:rPr>
                <w:rFonts w:ascii="Times New Roman" w:hAnsi="Times New Roman" w:cs="Times New Roman"/>
                <w:sz w:val="24"/>
                <w:szCs w:val="24"/>
              </w:rPr>
              <w:t xml:space="preserve">advanced practice </w:t>
            </w:r>
            <w:r>
              <w:rPr>
                <w:rFonts w:ascii="Times New Roman" w:hAnsi="Times New Roman" w:cs="Times New Roman"/>
                <w:sz w:val="24"/>
                <w:szCs w:val="24"/>
              </w:rPr>
              <w:t xml:space="preserve">nurse practitioner who </w:t>
            </w:r>
            <w:r w:rsidR="00850BCA">
              <w:rPr>
                <w:rFonts w:ascii="Times New Roman" w:hAnsi="Times New Roman" w:cs="Times New Roman"/>
                <w:sz w:val="24"/>
                <w:szCs w:val="24"/>
              </w:rPr>
              <w:t>has</w:t>
            </w:r>
            <w:r>
              <w:rPr>
                <w:rFonts w:ascii="Times New Roman" w:hAnsi="Times New Roman" w:cs="Times New Roman"/>
                <w:sz w:val="24"/>
                <w:szCs w:val="24"/>
              </w:rPr>
              <w:t xml:space="preserve"> primary responsibility for the care of the patient.</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Central Line</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A medical device that provides intravenous access to the central circulation.</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CLABSI</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Central Line Associated Blood Stream Infectious. Infection associated with bacteremia that originates from a central line.</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Clamp</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A single use, disposable device that snaps shut over the external lumens of a PICC, central line, midline catheter or selected peripheral intravenous lines.</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ID Consultation</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Infectious Disease consultation, shown to increase quality and safety and to decrease length of stay for many patients with blood stream infections.</w:t>
            </w:r>
          </w:p>
        </w:tc>
      </w:tr>
      <w:tr w:rsidR="00C55AD4" w:rsidTr="002B0935">
        <w:tc>
          <w:tcPr>
            <w:tcW w:w="1525" w:type="dxa"/>
          </w:tcPr>
          <w:p w:rsidR="00C55AD4" w:rsidRDefault="00C55AD4" w:rsidP="002B0935">
            <w:pPr>
              <w:pStyle w:val="NoSpacing"/>
              <w:rPr>
                <w:rFonts w:ascii="Times New Roman" w:hAnsi="Times New Roman" w:cs="Times New Roman"/>
                <w:sz w:val="24"/>
                <w:szCs w:val="24"/>
              </w:rPr>
            </w:pPr>
            <w:r>
              <w:rPr>
                <w:rFonts w:ascii="Times New Roman" w:hAnsi="Times New Roman" w:cs="Times New Roman"/>
                <w:sz w:val="24"/>
                <w:szCs w:val="24"/>
              </w:rPr>
              <w:t>IVDU</w:t>
            </w:r>
          </w:p>
        </w:tc>
        <w:tc>
          <w:tcPr>
            <w:tcW w:w="7825" w:type="dxa"/>
          </w:tcPr>
          <w:p w:rsidR="00C55AD4" w:rsidRDefault="00C55AD4" w:rsidP="002B0935">
            <w:pPr>
              <w:pStyle w:val="NoSpacing"/>
              <w:rPr>
                <w:rFonts w:ascii="Times New Roman" w:hAnsi="Times New Roman" w:cs="Times New Roman"/>
                <w:sz w:val="24"/>
                <w:szCs w:val="24"/>
              </w:rPr>
            </w:pPr>
            <w:r>
              <w:rPr>
                <w:rFonts w:ascii="Times New Roman" w:hAnsi="Times New Roman" w:cs="Times New Roman"/>
                <w:sz w:val="24"/>
                <w:szCs w:val="24"/>
              </w:rPr>
              <w:t>Intravenous Drug Use</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Medication-Assisted Treatment</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The use of approved medications to manage opiate withdrawal and to try to prevent relapse of narcotic abuse. Medications include methadone, buprenorphine, Suboxone and naltrexone.</w:t>
            </w:r>
            <w:r w:rsidR="00CE0E16">
              <w:rPr>
                <w:rFonts w:ascii="Times New Roman" w:hAnsi="Times New Roman" w:cs="Times New Roman"/>
                <w:sz w:val="24"/>
                <w:szCs w:val="24"/>
              </w:rPr>
              <w:t xml:space="preserve"> These must generally be prescribed by specially trained or licensed care providers.</w:t>
            </w:r>
          </w:p>
        </w:tc>
      </w:tr>
      <w:tr w:rsidR="00C55AD4" w:rsidTr="002B0935">
        <w:tc>
          <w:tcPr>
            <w:tcW w:w="1525" w:type="dxa"/>
          </w:tcPr>
          <w:p w:rsidR="00C55AD4" w:rsidRDefault="00C55AD4" w:rsidP="002B0935">
            <w:pPr>
              <w:pStyle w:val="NoSpacing"/>
              <w:rPr>
                <w:rFonts w:ascii="Times New Roman" w:hAnsi="Times New Roman" w:cs="Times New Roman"/>
                <w:sz w:val="24"/>
                <w:szCs w:val="24"/>
              </w:rPr>
            </w:pPr>
            <w:r>
              <w:rPr>
                <w:rFonts w:ascii="Times New Roman" w:hAnsi="Times New Roman" w:cs="Times New Roman"/>
                <w:sz w:val="24"/>
                <w:szCs w:val="24"/>
              </w:rPr>
              <w:t>Midline Catheter</w:t>
            </w:r>
          </w:p>
        </w:tc>
        <w:tc>
          <w:tcPr>
            <w:tcW w:w="7825" w:type="dxa"/>
          </w:tcPr>
          <w:p w:rsidR="00C55AD4" w:rsidRDefault="00C55AD4" w:rsidP="002B0935">
            <w:pPr>
              <w:pStyle w:val="NoSpacing"/>
              <w:rPr>
                <w:rFonts w:ascii="Times New Roman" w:hAnsi="Times New Roman" w:cs="Times New Roman"/>
                <w:sz w:val="24"/>
                <w:szCs w:val="24"/>
              </w:rPr>
            </w:pPr>
            <w:r>
              <w:rPr>
                <w:rFonts w:ascii="Times New Roman" w:hAnsi="Times New Roman" w:cs="Times New Roman"/>
                <w:sz w:val="24"/>
                <w:szCs w:val="24"/>
              </w:rPr>
              <w:t>A peripheral catheter longer than a conventional peripheral intravenous catheter, but which does not reach centrally and is intended for longer dwell time in the vein.</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OPAT Clinic</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Outpatient Antibiotic Treatment Clinic. An outpatient site visited by patients on a routine basis for antibiotic infusions and oversight of the patient’s condition.</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PICC</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Peripherally Inserted Central-line Catheter. A central line inserted through a peripheral access.</w:t>
            </w:r>
          </w:p>
        </w:tc>
      </w:tr>
      <w:tr w:rsidR="00C55AD4" w:rsidTr="002B0935">
        <w:tc>
          <w:tcPr>
            <w:tcW w:w="1525" w:type="dxa"/>
          </w:tcPr>
          <w:p w:rsidR="00C55AD4" w:rsidRDefault="00C55AD4" w:rsidP="002B0935">
            <w:pPr>
              <w:pStyle w:val="NoSpacing"/>
              <w:rPr>
                <w:rFonts w:ascii="Times New Roman" w:hAnsi="Times New Roman" w:cs="Times New Roman"/>
                <w:sz w:val="24"/>
                <w:szCs w:val="24"/>
              </w:rPr>
            </w:pPr>
            <w:r>
              <w:rPr>
                <w:rFonts w:ascii="Times New Roman" w:hAnsi="Times New Roman" w:cs="Times New Roman"/>
                <w:sz w:val="24"/>
                <w:szCs w:val="24"/>
              </w:rPr>
              <w:t>PWID</w:t>
            </w:r>
          </w:p>
        </w:tc>
        <w:tc>
          <w:tcPr>
            <w:tcW w:w="7825" w:type="dxa"/>
          </w:tcPr>
          <w:p w:rsidR="00C55AD4" w:rsidRDefault="00C55AD4" w:rsidP="002B0935">
            <w:pPr>
              <w:pStyle w:val="NoSpacing"/>
              <w:rPr>
                <w:rFonts w:ascii="Times New Roman" w:hAnsi="Times New Roman" w:cs="Times New Roman"/>
                <w:sz w:val="24"/>
                <w:szCs w:val="24"/>
              </w:rPr>
            </w:pPr>
            <w:r>
              <w:rPr>
                <w:rFonts w:ascii="Times New Roman" w:hAnsi="Times New Roman" w:cs="Times New Roman"/>
                <w:sz w:val="24"/>
                <w:szCs w:val="24"/>
              </w:rPr>
              <w:t xml:space="preserve">Person Who Injects Drugs. A person who injects illicit drugs such as narcotics. </w:t>
            </w:r>
          </w:p>
        </w:tc>
      </w:tr>
      <w:tr w:rsidR="002B0935" w:rsidTr="002B0935">
        <w:tc>
          <w:tcPr>
            <w:tcW w:w="15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Treatment Agreement</w:t>
            </w:r>
          </w:p>
        </w:tc>
        <w:tc>
          <w:tcPr>
            <w:tcW w:w="7825" w:type="dxa"/>
          </w:tcPr>
          <w:p w:rsidR="002B0935" w:rsidRDefault="002B0935" w:rsidP="002B0935">
            <w:pPr>
              <w:pStyle w:val="NoSpacing"/>
              <w:rPr>
                <w:rFonts w:ascii="Times New Roman" w:hAnsi="Times New Roman" w:cs="Times New Roman"/>
                <w:sz w:val="24"/>
                <w:szCs w:val="24"/>
              </w:rPr>
            </w:pPr>
            <w:r>
              <w:rPr>
                <w:rFonts w:ascii="Times New Roman" w:hAnsi="Times New Roman" w:cs="Times New Roman"/>
                <w:sz w:val="24"/>
                <w:szCs w:val="24"/>
              </w:rPr>
              <w:t>A document that provides information about the care provided and educates the patient about the reason for the use of the Central Line Protection Clamp and the possible consequences of tampering with the Central Line.</w:t>
            </w:r>
            <w:r w:rsidR="00CE0E16">
              <w:rPr>
                <w:rFonts w:ascii="Times New Roman" w:hAnsi="Times New Roman" w:cs="Times New Roman"/>
                <w:sz w:val="24"/>
                <w:szCs w:val="24"/>
              </w:rPr>
              <w:t xml:space="preserve"> </w:t>
            </w:r>
          </w:p>
        </w:tc>
      </w:tr>
      <w:tr w:rsidR="004C6751" w:rsidTr="002B0935">
        <w:tc>
          <w:tcPr>
            <w:tcW w:w="1525" w:type="dxa"/>
          </w:tcPr>
          <w:p w:rsidR="004C6751" w:rsidRDefault="004C6751" w:rsidP="002B0935">
            <w:pPr>
              <w:pStyle w:val="NoSpacing"/>
              <w:rPr>
                <w:rFonts w:ascii="Times New Roman" w:hAnsi="Times New Roman" w:cs="Times New Roman"/>
                <w:sz w:val="24"/>
                <w:szCs w:val="24"/>
              </w:rPr>
            </w:pPr>
            <w:r>
              <w:rPr>
                <w:rFonts w:ascii="Times New Roman" w:hAnsi="Times New Roman" w:cs="Times New Roman"/>
                <w:sz w:val="24"/>
                <w:szCs w:val="24"/>
              </w:rPr>
              <w:t>Vascular Access Specialist</w:t>
            </w:r>
          </w:p>
        </w:tc>
        <w:tc>
          <w:tcPr>
            <w:tcW w:w="7825" w:type="dxa"/>
          </w:tcPr>
          <w:p w:rsidR="004C6751" w:rsidRDefault="004C6751" w:rsidP="002B0935">
            <w:pPr>
              <w:pStyle w:val="NoSpacing"/>
              <w:rPr>
                <w:rFonts w:ascii="Times New Roman" w:hAnsi="Times New Roman" w:cs="Times New Roman"/>
                <w:sz w:val="24"/>
                <w:szCs w:val="24"/>
              </w:rPr>
            </w:pPr>
            <w:r>
              <w:rPr>
                <w:rFonts w:ascii="Times New Roman" w:hAnsi="Times New Roman" w:cs="Times New Roman"/>
                <w:sz w:val="24"/>
                <w:szCs w:val="24"/>
              </w:rPr>
              <w:t>The vascular access specialist is expert in the insertion of PICC or other central lines. The Vascular Access Specialist is also an expert in the maintenance of central lines and the appropriate selection of devices and accommodations to insure the continued safety and quality of the line and the patient.</w:t>
            </w:r>
          </w:p>
        </w:tc>
      </w:tr>
    </w:tbl>
    <w:p w:rsidR="003F6039" w:rsidRDefault="003F6039" w:rsidP="00E97188">
      <w:pPr>
        <w:pStyle w:val="NoSpacing"/>
        <w:spacing w:line="360" w:lineRule="auto"/>
        <w:rPr>
          <w:rFonts w:ascii="Times New Roman" w:hAnsi="Times New Roman" w:cs="Times New Roman"/>
          <w:sz w:val="24"/>
          <w:szCs w:val="24"/>
        </w:rPr>
      </w:pPr>
    </w:p>
    <w:p w:rsidR="00CE0E16" w:rsidRPr="00CE0E16" w:rsidRDefault="00CE0E16" w:rsidP="00E97188">
      <w:pPr>
        <w:pStyle w:val="NoSpacing"/>
        <w:spacing w:line="360" w:lineRule="auto"/>
        <w:rPr>
          <w:rFonts w:ascii="Times New Roman" w:hAnsi="Times New Roman" w:cs="Times New Roman"/>
          <w:b/>
          <w:sz w:val="24"/>
          <w:szCs w:val="24"/>
          <w:u w:val="single"/>
        </w:rPr>
      </w:pPr>
      <w:r w:rsidRPr="00CE0E16">
        <w:rPr>
          <w:rFonts w:ascii="Times New Roman" w:hAnsi="Times New Roman" w:cs="Times New Roman"/>
          <w:b/>
          <w:sz w:val="24"/>
          <w:szCs w:val="24"/>
          <w:u w:val="single"/>
        </w:rPr>
        <w:t>Policies</w:t>
      </w:r>
    </w:p>
    <w:p w:rsidR="00CE0E16" w:rsidRDefault="00C55AD4" w:rsidP="00CE0E1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All patients with PICC </w:t>
      </w:r>
      <w:r w:rsidR="000B7CF8">
        <w:rPr>
          <w:rFonts w:ascii="Times New Roman" w:hAnsi="Times New Roman" w:cs="Times New Roman"/>
          <w:sz w:val="24"/>
          <w:szCs w:val="24"/>
        </w:rPr>
        <w:t xml:space="preserve">lines </w:t>
      </w:r>
      <w:r>
        <w:rPr>
          <w:rFonts w:ascii="Times New Roman" w:hAnsi="Times New Roman" w:cs="Times New Roman"/>
          <w:sz w:val="24"/>
          <w:szCs w:val="24"/>
        </w:rPr>
        <w:t>or other types of central lines should be considered for application of the PICC and Central Line Protection Clamp.</w:t>
      </w:r>
    </w:p>
    <w:p w:rsidR="00C55AD4" w:rsidRDefault="00C55AD4" w:rsidP="00CE0E1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Patients can be selected because of </w:t>
      </w:r>
      <w:r w:rsidR="004C6751">
        <w:rPr>
          <w:rFonts w:ascii="Times New Roman" w:hAnsi="Times New Roman" w:cs="Times New Roman"/>
          <w:sz w:val="24"/>
          <w:szCs w:val="24"/>
        </w:rPr>
        <w:t xml:space="preserve">a </w:t>
      </w:r>
      <w:r>
        <w:rPr>
          <w:rFonts w:ascii="Times New Roman" w:hAnsi="Times New Roman" w:cs="Times New Roman"/>
          <w:sz w:val="24"/>
          <w:szCs w:val="24"/>
        </w:rPr>
        <w:t>known history of IVDU or by a screening tool or protocol used to generate a risk profile.</w:t>
      </w:r>
    </w:p>
    <w:p w:rsidR="004C6751" w:rsidRDefault="00C55AD4"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Clamp is a component of the Central Line profile. It does not require a separate consent.</w:t>
      </w:r>
    </w:p>
    <w:p w:rsidR="00563328" w:rsidRDefault="004C6751" w:rsidP="004C6751">
      <w:pPr>
        <w:pStyle w:val="NoSpacing"/>
        <w:numPr>
          <w:ilvl w:val="0"/>
          <w:numId w:val="2"/>
        </w:numPr>
        <w:spacing w:line="360" w:lineRule="auto"/>
        <w:rPr>
          <w:rFonts w:ascii="Times New Roman" w:hAnsi="Times New Roman" w:cs="Times New Roman"/>
          <w:sz w:val="24"/>
          <w:szCs w:val="24"/>
        </w:rPr>
      </w:pPr>
      <w:r w:rsidRPr="004C6751">
        <w:rPr>
          <w:rFonts w:ascii="Times New Roman" w:hAnsi="Times New Roman" w:cs="Times New Roman"/>
          <w:sz w:val="24"/>
          <w:szCs w:val="24"/>
        </w:rPr>
        <w:t>T</w:t>
      </w:r>
      <w:r w:rsidR="00563328" w:rsidRPr="004C6751">
        <w:rPr>
          <w:rFonts w:ascii="Times New Roman" w:hAnsi="Times New Roman" w:cs="Times New Roman"/>
          <w:sz w:val="24"/>
          <w:szCs w:val="24"/>
        </w:rPr>
        <w:t>he Clamp will be applied by the vascular access specialist at the time of Central Line insertion or by the nurse responsible for the management and maintenance of the Central Line.</w:t>
      </w:r>
    </w:p>
    <w:p w:rsidR="004C6751" w:rsidRDefault="004C6751"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After the initial insertion of the line by the Vascular Access Specialist, the Clamp will be applied on a patient after an order from the Care Provider.</w:t>
      </w:r>
    </w:p>
    <w:p w:rsidR="004C6751" w:rsidRDefault="004C6751"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Patients with the Clamp in place will not leave the immediate care area.</w:t>
      </w:r>
    </w:p>
    <w:p w:rsidR="004C6751" w:rsidRDefault="004C6751"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Patients with the Clamp in place will be monitored under the direction of their primary RN.</w:t>
      </w:r>
    </w:p>
    <w:p w:rsidR="004C6751" w:rsidRDefault="00A6454A"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Clamp will be </w:t>
      </w:r>
      <w:r w:rsidR="001005F8">
        <w:rPr>
          <w:rFonts w:ascii="Times New Roman" w:hAnsi="Times New Roman" w:cs="Times New Roman"/>
          <w:sz w:val="24"/>
          <w:szCs w:val="24"/>
        </w:rPr>
        <w:t>removed prior to each infusion and replaced immediately after the conclusion of the infusion.</w:t>
      </w:r>
      <w:r w:rsidR="004A0856">
        <w:rPr>
          <w:rFonts w:ascii="Times New Roman" w:hAnsi="Times New Roman" w:cs="Times New Roman"/>
          <w:sz w:val="24"/>
          <w:szCs w:val="24"/>
        </w:rPr>
        <w:t xml:space="preserve"> Do not attempt to reuse the Clamp.</w:t>
      </w:r>
    </w:p>
    <w:p w:rsidR="001005F8" w:rsidRDefault="001005F8"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Clamp will be placed in accordance with the Instructions for Use Appended to this document.</w:t>
      </w:r>
    </w:p>
    <w:p w:rsidR="004333FA" w:rsidRDefault="004333FA"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Ensure that the Clamp does not interfere with the sterile dressing and can be removing without affecting the dressing.</w:t>
      </w:r>
    </w:p>
    <w:p w:rsidR="001005F8" w:rsidRDefault="001005F8"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Prior to use, the responsible RN will review the inservice training available at </w:t>
      </w:r>
      <w:hyperlink r:id="rId5" w:history="1">
        <w:r w:rsidRPr="00DE45B6">
          <w:rPr>
            <w:rStyle w:val="Hyperlink"/>
            <w:rFonts w:ascii="Times New Roman" w:hAnsi="Times New Roman" w:cs="Times New Roman"/>
            <w:sz w:val="24"/>
            <w:szCs w:val="24"/>
          </w:rPr>
          <w:t>https://www.neumainnovations.com</w:t>
        </w:r>
      </w:hyperlink>
      <w:r>
        <w:rPr>
          <w:rFonts w:ascii="Times New Roman" w:hAnsi="Times New Roman" w:cs="Times New Roman"/>
          <w:sz w:val="24"/>
          <w:szCs w:val="24"/>
        </w:rPr>
        <w:t xml:space="preserve"> </w:t>
      </w:r>
    </w:p>
    <w:p w:rsidR="001005F8" w:rsidRDefault="00A40C7C"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w:t>
      </w:r>
      <w:r w:rsidR="001005F8">
        <w:rPr>
          <w:rFonts w:ascii="Times New Roman" w:hAnsi="Times New Roman" w:cs="Times New Roman"/>
          <w:sz w:val="24"/>
          <w:szCs w:val="24"/>
        </w:rPr>
        <w:t xml:space="preserve"> the patient removes the Clamp, the RN will put another Clamp in place and notify the Care Provider immediately.</w:t>
      </w:r>
    </w:p>
    <w:p w:rsidR="00A40C7C" w:rsidRDefault="00A40C7C"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Care Provider and the care team will decide the consequences for tampering with the Clamp or the Central Line.</w:t>
      </w:r>
    </w:p>
    <w:p w:rsidR="001005F8" w:rsidRDefault="001005F8"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Clamp can be applied to all external lumens of a Central Line or to each external lumen separately.</w:t>
      </w:r>
    </w:p>
    <w:p w:rsidR="001005F8" w:rsidRDefault="001005F8"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Clamp is not sterile and should not be applied under sterile dressings.</w:t>
      </w:r>
    </w:p>
    <w:p w:rsidR="00A40C7C" w:rsidRDefault="00A40C7C"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 the patient tampers with the Clamp or the Central Line, the RN will record the event in a nursing note, and the Care Provider will record the event in daily or interim note. Doing so will protect the institution from a CLABSI event if the Central Line becomes infected and leads to a blood stream infection.</w:t>
      </w:r>
    </w:p>
    <w:p w:rsidR="0029522A" w:rsidRDefault="0029522A"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fact that the Clamp is in place will be recorded at least once daily in the nursing notes and the Care Provider of Physician notes.</w:t>
      </w:r>
    </w:p>
    <w:p w:rsidR="004333FA" w:rsidRDefault="004333FA"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Care Team led by the primary physician or other care provider will address the consequences of tampering with the device with the patient at the time the Clamp is applied and subsequently when tampering occurs.</w:t>
      </w:r>
    </w:p>
    <w:p w:rsidR="004333FA" w:rsidRDefault="004333FA"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Care Team has the authorization respond to tampering with all remedies including drug testing, the placing of a sitter or the removal of the PICC or other central line. In making these decisions, the Care Team may involve the ethics committee or the Chief of Staff or Chief Medical Officer.</w:t>
      </w:r>
    </w:p>
    <w:p w:rsidR="004333FA" w:rsidRDefault="004333FA"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Care Provider may consider a consultation with the Infectious Disease Service to determine whether a shorter course of antibiotics or an alternative route of treatment would be appropriate and would decrease risk for the patient.</w:t>
      </w:r>
    </w:p>
    <w:p w:rsidR="004333FA" w:rsidRDefault="004333FA"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Care Provider </w:t>
      </w:r>
      <w:r w:rsidR="0022559C">
        <w:rPr>
          <w:rFonts w:ascii="Times New Roman" w:hAnsi="Times New Roman" w:cs="Times New Roman"/>
          <w:sz w:val="24"/>
          <w:szCs w:val="24"/>
        </w:rPr>
        <w:t>may determine that the patient is appropriate for OPAT treatment and should encourage the OPAT providers to consider us of the Clamp.</w:t>
      </w:r>
    </w:p>
    <w:p w:rsidR="0022559C" w:rsidRDefault="0022559C" w:rsidP="004C675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Care Provider should consider the use of MAT to reduce the risk of line tampering in conjunction with the Clamp.</w:t>
      </w:r>
    </w:p>
    <w:p w:rsidR="004333FA" w:rsidRDefault="004333FA" w:rsidP="003E4F84">
      <w:pPr>
        <w:pStyle w:val="NoSpacing"/>
        <w:spacing w:line="360" w:lineRule="auto"/>
        <w:rPr>
          <w:rFonts w:ascii="Times New Roman" w:hAnsi="Times New Roman" w:cs="Times New Roman"/>
          <w:sz w:val="24"/>
          <w:szCs w:val="24"/>
        </w:rPr>
      </w:pPr>
    </w:p>
    <w:p w:rsidR="003E4F84" w:rsidRDefault="003E4F84" w:rsidP="003E4F84">
      <w:pPr>
        <w:pStyle w:val="NoSpacing"/>
        <w:spacing w:line="360" w:lineRule="auto"/>
        <w:rPr>
          <w:rFonts w:ascii="Times New Roman" w:hAnsi="Times New Roman" w:cs="Times New Roman"/>
          <w:sz w:val="24"/>
          <w:szCs w:val="24"/>
        </w:rPr>
      </w:pPr>
      <w:r w:rsidRPr="003E4F84">
        <w:rPr>
          <w:rFonts w:ascii="Times New Roman" w:hAnsi="Times New Roman" w:cs="Times New Roman"/>
          <w:b/>
          <w:sz w:val="24"/>
          <w:szCs w:val="24"/>
          <w:u w:val="single"/>
        </w:rPr>
        <w:t>Documentation Requirements</w:t>
      </w:r>
      <w:r w:rsidR="004333FA">
        <w:rPr>
          <w:rFonts w:ascii="Times New Roman" w:hAnsi="Times New Roman" w:cs="Times New Roman"/>
          <w:b/>
          <w:sz w:val="24"/>
          <w:szCs w:val="24"/>
          <w:u w:val="single"/>
        </w:rPr>
        <w:t xml:space="preserve"> </w:t>
      </w:r>
    </w:p>
    <w:p w:rsidR="004333FA" w:rsidRDefault="004333FA" w:rsidP="003E4F84">
      <w:pPr>
        <w:pStyle w:val="NoSpacing"/>
        <w:spacing w:line="360" w:lineRule="auto"/>
        <w:rPr>
          <w:rFonts w:ascii="Times New Roman" w:hAnsi="Times New Roman" w:cs="Times New Roman"/>
          <w:sz w:val="24"/>
          <w:szCs w:val="24"/>
        </w:rPr>
      </w:pPr>
    </w:p>
    <w:p w:rsidR="004333FA" w:rsidRDefault="004333FA" w:rsidP="004333FA">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Documentation of the placement of the Clamp will occur with each application by the individual placing the Clamp.</w:t>
      </w:r>
    </w:p>
    <w:p w:rsidR="004333FA" w:rsidRDefault="004333FA" w:rsidP="004333FA">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Document of tampering with the device will be placed in the medical record by the primary nurse. Documentation will include a statement that the primary Care Provider has been notified.</w:t>
      </w:r>
    </w:p>
    <w:p w:rsidR="004333FA" w:rsidRDefault="004333FA" w:rsidP="004333FA">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Care Provider will note in the medical record that tampering has occurred and that the device was removed by the patient or another unauthorized person.</w:t>
      </w:r>
    </w:p>
    <w:p w:rsidR="004333FA" w:rsidRDefault="004333FA" w:rsidP="004333FA">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primary nurse will record when the patient left the floor without authorization. </w:t>
      </w:r>
    </w:p>
    <w:p w:rsidR="004E2E7E" w:rsidRDefault="004E2E7E" w:rsidP="004E2E7E">
      <w:pPr>
        <w:pStyle w:val="NoSpacing"/>
        <w:spacing w:line="360" w:lineRule="auto"/>
        <w:rPr>
          <w:rFonts w:ascii="Times New Roman" w:hAnsi="Times New Roman" w:cs="Times New Roman"/>
          <w:sz w:val="24"/>
          <w:szCs w:val="24"/>
        </w:rPr>
      </w:pPr>
    </w:p>
    <w:p w:rsidR="004E2E7E" w:rsidRPr="004333FA" w:rsidRDefault="004E2E7E" w:rsidP="004E2E7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AUTHORIZING SIGNATURES appropriate to the institution’s policies and procedures.</w:t>
      </w:r>
      <w:bookmarkStart w:id="0" w:name="_GoBack"/>
      <w:bookmarkEnd w:id="0"/>
    </w:p>
    <w:sectPr w:rsidR="004E2E7E" w:rsidRPr="0043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3E13"/>
    <w:multiLevelType w:val="hybridMultilevel"/>
    <w:tmpl w:val="CC4E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F68E8"/>
    <w:multiLevelType w:val="hybridMultilevel"/>
    <w:tmpl w:val="E2B0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631F5"/>
    <w:multiLevelType w:val="hybridMultilevel"/>
    <w:tmpl w:val="CDBA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8"/>
    <w:rsid w:val="000464B5"/>
    <w:rsid w:val="000B7CF8"/>
    <w:rsid w:val="001005F8"/>
    <w:rsid w:val="001D3766"/>
    <w:rsid w:val="0022559C"/>
    <w:rsid w:val="0029522A"/>
    <w:rsid w:val="002B0935"/>
    <w:rsid w:val="003E4F84"/>
    <w:rsid w:val="003F6039"/>
    <w:rsid w:val="004333FA"/>
    <w:rsid w:val="004A0856"/>
    <w:rsid w:val="004C6751"/>
    <w:rsid w:val="004E2E7E"/>
    <w:rsid w:val="0052342A"/>
    <w:rsid w:val="00563328"/>
    <w:rsid w:val="00593124"/>
    <w:rsid w:val="005A7FB9"/>
    <w:rsid w:val="0065581C"/>
    <w:rsid w:val="0073128D"/>
    <w:rsid w:val="007444D6"/>
    <w:rsid w:val="00765AB1"/>
    <w:rsid w:val="00850BCA"/>
    <w:rsid w:val="00A40C7C"/>
    <w:rsid w:val="00A6454A"/>
    <w:rsid w:val="00C55AD4"/>
    <w:rsid w:val="00CC6ACE"/>
    <w:rsid w:val="00CE0E16"/>
    <w:rsid w:val="00CE7B36"/>
    <w:rsid w:val="00E97188"/>
    <w:rsid w:val="00ED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84C7"/>
  <w15:chartTrackingRefBased/>
  <w15:docId w15:val="{49E6AC64-60C8-41C3-BB0B-2CE3F223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88"/>
    <w:pPr>
      <w:spacing w:after="0" w:line="240" w:lineRule="auto"/>
    </w:pPr>
  </w:style>
  <w:style w:type="table" w:styleId="TableGrid">
    <w:name w:val="Table Grid"/>
    <w:basedOn w:val="TableNormal"/>
    <w:uiPriority w:val="39"/>
    <w:rsid w:val="003F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5F8"/>
    <w:rPr>
      <w:color w:val="0563C1" w:themeColor="hyperlink"/>
      <w:u w:val="single"/>
    </w:rPr>
  </w:style>
  <w:style w:type="character" w:styleId="UnresolvedMention">
    <w:name w:val="Unresolved Mention"/>
    <w:basedOn w:val="DefaultParagraphFont"/>
    <w:uiPriority w:val="99"/>
    <w:semiHidden/>
    <w:unhideWhenUsed/>
    <w:rsid w:val="0010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umainnov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Lloyd</dc:creator>
  <cp:keywords/>
  <dc:description/>
  <cp:lastModifiedBy>Rucker, Lloyd</cp:lastModifiedBy>
  <cp:revision>8</cp:revision>
  <dcterms:created xsi:type="dcterms:W3CDTF">2019-05-03T20:44:00Z</dcterms:created>
  <dcterms:modified xsi:type="dcterms:W3CDTF">2019-05-08T18:12:00Z</dcterms:modified>
</cp:coreProperties>
</file>